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8C" w:rsidRPr="00006E8C" w:rsidRDefault="00006E8C" w:rsidP="00006E8C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color w:val="37424A"/>
          <w:sz w:val="24"/>
          <w:szCs w:val="24"/>
        </w:rPr>
      </w:pP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Опис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Суспензія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білого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кольору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Склад</w:t>
      </w:r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1 мл препарату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містить</w:t>
      </w:r>
      <w:proofErr w:type="spellEnd"/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діючу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речовину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: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40 МО.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Допоміжні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речовини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: метил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парагідроксибензоат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; цинку хлорид;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натрію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ацетат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тригідрат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;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натрію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хлорид;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натрію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гідроксид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вода для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Фармакологічні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властивості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АТС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vet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класифікаційний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код QА10AC03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протидіабетичні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препарати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Канінсулін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середньої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тривалості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містить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аморфний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кристалічний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ідношенні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3,5:6,5.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гормон,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забезпечує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транспорт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клітини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активує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внутрішньоклітинні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ензими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які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відповідають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використання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збереження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амінокислот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жирних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кислот.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також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пригнічує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процеси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катаболізму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зокрема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протеоліз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глюконеогенез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іполіз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Цукровий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діабет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захворювання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яке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характеризується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абсолютним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частковим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дефіцитом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призводить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персистентної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гіперглікемії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Відповідно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моніторинг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сироватці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змогу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оцінити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системну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застосування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У собак,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хворих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діабет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Канінсуліну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досягає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максимуму через 6-8 годин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триває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до 14-24 годин.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Канінсуліну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досягає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максимуму через 4-6 годин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триває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до 8-12 годин.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Канінсулін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середньої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тривалості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містить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аморфний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кристалічний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ідношенні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3,5:6,5.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собак-діабетиків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ікова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плазмі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відзначається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через 2-6 годин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підшкірної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залишаючись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рівні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перевищує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доін’єкційний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протягом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14-24 годин.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ікова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рівень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плазмі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спостерігається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через 1,5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підшкірної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залишаючись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рівні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перевищує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доін’єкційний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протягом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5-12 годин.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Застосування</w:t>
      </w:r>
      <w:proofErr w:type="spellEnd"/>
      <w:proofErr w:type="gram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лікування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собак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хворих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цукровий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діабет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Дозування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2 рази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ідшкірно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кожного разу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обирають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місце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ін’єнції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допомогою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інсулінового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шприца на 40 ОД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флакона)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ін’єктора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VetPen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картриджа).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Флакон добре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струшують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розачуючи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долонями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до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отпримання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однорідного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вмісту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молочного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кольору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  <w:u w:val="single"/>
        </w:rPr>
        <w:t xml:space="preserve">Фаза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  <w:u w:val="single"/>
        </w:rPr>
        <w:t>стабілізації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  <w:u w:val="single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Собаки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Терапію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розпочинають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початкової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0,5 МО/ кг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маси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7605"/>
      </w:tblGrid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Маса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тіла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тварини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(кг)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Початкова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доза на одну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тварину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(МО на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добу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006E8C" w:rsidRPr="00006E8C" w:rsidRDefault="00006E8C" w:rsidP="00006E8C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color w:val="37424A"/>
          <w:sz w:val="24"/>
          <w:szCs w:val="24"/>
        </w:rPr>
      </w:pP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Залежно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розвитку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клінічних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ознак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результатів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моніторингу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можлива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корекція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10%,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частіше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ніж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 раз на 3-7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діб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Для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деяких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собак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необхідна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дворазова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  препарату, до того ж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кожного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 дозу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знижують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25%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розрахованої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Таким чином,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сумарна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добова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доза препарату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дворазової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  буде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меншою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двійну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Наприклад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якщо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собаці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масою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10 кг,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згідно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розрахунком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потрібно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5 МО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дворазове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по 3 МО буде на 25%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менше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ніж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5 МО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тервал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12 годин.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подальшому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корекцію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такою ж схемою.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Синхронізують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годівлю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щоденно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зберігаючи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постійний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склад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раціону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регулярність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годівлі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У собак,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яким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 раз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друге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зазвичай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співпадає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максимумом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препарату.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дворазового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годівля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практично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співпадає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Коти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спочатку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1-2 МО,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залежно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у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Котам 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двічі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5"/>
        <w:gridCol w:w="4445"/>
      </w:tblGrid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Концентрація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глюкози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сироватці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крові</w:t>
            </w:r>
            <w:proofErr w:type="spellEnd"/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Початкова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доза для кота</w:t>
            </w:r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&lt; 20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ммоль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/л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або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&lt; 3,6 г/л (&lt; 360 мг/дл)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D8EC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1 МО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двічі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добу</w:t>
            </w:r>
            <w:proofErr w:type="spellEnd"/>
          </w:p>
        </w:tc>
      </w:tr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≥ 20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ммоль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/л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або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≥ 3,6 г/л (≥ 360 мг/дл)</w:t>
            </w:r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2 МО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двічі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добу</w:t>
            </w:r>
            <w:proofErr w:type="spellEnd"/>
          </w:p>
        </w:tc>
      </w:tr>
    </w:tbl>
    <w:p w:rsidR="00006E8C" w:rsidRPr="00006E8C" w:rsidRDefault="00006E8C" w:rsidP="00006E8C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color w:val="37424A"/>
          <w:sz w:val="24"/>
          <w:szCs w:val="24"/>
        </w:rPr>
      </w:pP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Склад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раціону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регулярність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вл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змінюють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Корекцію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добової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здійснюють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частіше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ніж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 раз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тиждень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залежно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результатів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вимірювання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івня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сироватці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Збільшення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повинно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перевищувати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 МО.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ідеалі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протягом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перших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трьох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тижнів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більше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2 МО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proofErr w:type="gramStart"/>
      <w:r w:rsidRPr="00006E8C">
        <w:rPr>
          <w:rFonts w:ascii="Arial Narrow" w:eastAsia="Times New Roman" w:hAnsi="Arial Narrow" w:cs="Times New Roman"/>
          <w:b/>
          <w:bCs/>
          <w:i/>
          <w:iCs/>
          <w:color w:val="37424A"/>
          <w:sz w:val="24"/>
          <w:szCs w:val="24"/>
          <w:u w:val="single"/>
        </w:rPr>
        <w:t>П</w:t>
      </w:r>
      <w:proofErr w:type="gramEnd"/>
      <w:r w:rsidRPr="00006E8C">
        <w:rPr>
          <w:rFonts w:ascii="Arial Narrow" w:eastAsia="Times New Roman" w:hAnsi="Arial Narrow" w:cs="Times New Roman"/>
          <w:b/>
          <w:bCs/>
          <w:i/>
          <w:iCs/>
          <w:color w:val="37424A"/>
          <w:sz w:val="24"/>
          <w:szCs w:val="24"/>
          <w:u w:val="single"/>
        </w:rPr>
        <w:t>ідтримувальна</w:t>
      </w:r>
      <w:proofErr w:type="spellEnd"/>
      <w:r w:rsidRPr="00006E8C">
        <w:rPr>
          <w:rFonts w:ascii="Arial Narrow" w:eastAsia="Times New Roman" w:hAnsi="Arial Narrow" w:cs="Times New Roman"/>
          <w:b/>
          <w:bCs/>
          <w:i/>
          <w:iCs/>
          <w:color w:val="37424A"/>
          <w:sz w:val="24"/>
          <w:szCs w:val="24"/>
          <w:u w:val="single"/>
        </w:rPr>
        <w:t xml:space="preserve"> фаза</w:t>
      </w:r>
      <w:r w:rsidRPr="00006E8C">
        <w:rPr>
          <w:rFonts w:ascii="Arial Narrow" w:eastAsia="Times New Roman" w:hAnsi="Arial Narrow" w:cs="Times New Roman"/>
          <w:b/>
          <w:bCs/>
          <w:i/>
          <w:iCs/>
          <w:color w:val="37424A"/>
          <w:sz w:val="24"/>
          <w:szCs w:val="24"/>
          <w:u w:val="single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встановлення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ефективної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препаратув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підтримуючій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розпочинають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програму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тривалого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лікування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обов’язковим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регулярним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моніторингом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рівня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Наступні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повторні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огляди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через 2-4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місяці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частіше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).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Корекцію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основі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результатів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досл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ідження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клінічного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стану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Власники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повинні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бути детально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проінформовані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клінічні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ознаки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гіпо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-/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гіперглікемії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Протипоказання</w:t>
      </w:r>
      <w:proofErr w:type="spellEnd"/>
      <w:proofErr w:type="gram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внутрішньовенно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застосовувати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тваринам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кетоацидотичному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стані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що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містить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згустки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які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розбиваються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струшування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флакона.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Застереження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Побічна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дія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Дуже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ідко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можлива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алергічна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реакція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чужорідного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Особливі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застереження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при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використанні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lastRenderedPageBreak/>
        <w:t xml:space="preserve">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застосовують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тваринам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регулярним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графіком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годівлі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Власників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яким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призначено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лікування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препаратом,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слід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нструктувати</w:t>
      </w:r>
      <w:proofErr w:type="spellEnd"/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необхідність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мати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вдома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цукрову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пудру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мед.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Тварини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клінічними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симптомами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гіпоглікемії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: голодом,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локомоції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судомами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м’язів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спотиканням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задніх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кінцівок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дезорієнтацією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потребують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термінового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розчину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годування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медом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цукровою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пудрою)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метою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відновлення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концентрації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глюкози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крові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Взаємодія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іншими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засобами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інші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форми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взаємод</w:t>
      </w:r>
      <w:proofErr w:type="gram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ії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е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разом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прогестагенами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Одночасне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застосування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кортикостероїдами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може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вплинути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ефективність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препарату, тому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необхідна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корекція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дози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proofErr w:type="gram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Спец</w:t>
      </w:r>
      <w:proofErr w:type="gram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іальні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застереження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Препарат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допомогою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інсулінового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шприца на 40 ОД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флакона)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ін’єктора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VetPen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(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картриджа).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Спеціальні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застереження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для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осіб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обслуговуючого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персоналу,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які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>вводять</w:t>
      </w:r>
      <w:proofErr w:type="spellEnd"/>
      <w:r w:rsidRPr="00006E8C">
        <w:rPr>
          <w:rFonts w:ascii="Arial Narrow" w:eastAsia="Times New Roman" w:hAnsi="Arial Narrow" w:cs="Times New Roman"/>
          <w:i/>
          <w:iCs/>
          <w:color w:val="37424A"/>
          <w:sz w:val="24"/>
          <w:szCs w:val="24"/>
        </w:rPr>
        <w:t xml:space="preserve"> препарат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Препарат вводиться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карем</w:t>
      </w:r>
      <w:proofErr w:type="spellEnd"/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ветеринарної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медицини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. 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При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контакт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шкірою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людини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необхідно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ретельно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промити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місце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контакту водою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милом.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потрапляння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очі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та на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слизові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оболонки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промити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великою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кількості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теплої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води.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  <w:t xml:space="preserve">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випадкового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введення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людині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необхідно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одразу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звернутися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до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лі</w:t>
      </w:r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каря</w:t>
      </w:r>
      <w:proofErr w:type="spellEnd"/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показавши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йому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упаковку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листівку-вкладку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Форма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випуску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Флакони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скла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типу І (за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Європейською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Фармакопеєю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),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закриті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гумовими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корками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алюмінієву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обкатку по 2,5 мл.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Вторинне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упакування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картонні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коробки по 1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10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флаконів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Флакони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скла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типу І (за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Європейською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Фармакопеєю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),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закриті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гумовими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корками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алюмінієву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обкатку по 10 мл.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Вторинне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упакування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картонні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коробки.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Картриджі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скла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типу І (за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Європейською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Фармакопеєю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)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поршнем,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закриті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гумовими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корками </w:t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алюмінієву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обкатку по 2,7 мл. 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Вторинне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упакування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–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картонні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коробки по 10 шт.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Зберігання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Термін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придатності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-24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місяці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першого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відбору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флакона -42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доби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proofErr w:type="gram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</w:t>
      </w:r>
      <w:proofErr w:type="gram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першого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відбору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картриджа -28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діб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Сухе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темне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,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недоступне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для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дітей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місце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температури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2° до 8°С.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Після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першого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відбору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флакони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або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картриджі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препаратом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зберігають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за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температури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>від</w:t>
      </w:r>
      <w:proofErr w:type="spellEnd"/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t xml:space="preserve"> 2° до 25°С.</w:t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color w:val="37424A"/>
          <w:sz w:val="24"/>
          <w:szCs w:val="24"/>
        </w:rPr>
        <w:br/>
      </w:r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Для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застосування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 у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ветеринарній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медицині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!</w:t>
      </w:r>
    </w:p>
    <w:p w:rsidR="00006E8C" w:rsidRPr="00006E8C" w:rsidRDefault="00006E8C" w:rsidP="00006E8C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color w:val="37424A"/>
          <w:sz w:val="24"/>
          <w:szCs w:val="24"/>
        </w:rPr>
      </w:pP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Власник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реєстраційного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 xml:space="preserve"> </w:t>
      </w:r>
      <w:proofErr w:type="spellStart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посвідчення</w:t>
      </w:r>
      <w:proofErr w:type="spellEnd"/>
      <w:r w:rsidRPr="00006E8C">
        <w:rPr>
          <w:rFonts w:ascii="Arial Narrow" w:eastAsia="Times New Roman" w:hAnsi="Arial Narrow" w:cs="Times New Roman"/>
          <w:b/>
          <w:bCs/>
          <w:color w:val="37424A"/>
          <w:sz w:val="24"/>
          <w:szCs w:val="24"/>
        </w:rPr>
        <w:t>: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5"/>
        <w:gridCol w:w="5695"/>
      </w:tblGrid>
      <w:tr w:rsidR="00006E8C" w:rsidRPr="00006E8C" w:rsidTr="00006E8C"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Інтервет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Інтернешнл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Б.В.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Вім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Корверштраат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, 35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5831 АН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Боксмеер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Королівство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Нідерланді</w:t>
            </w:r>
            <w:proofErr w:type="gram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6ECE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E8C" w:rsidRPr="00006E8C" w:rsidRDefault="00006E8C" w:rsidP="00006E8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Intervet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International B.V.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br/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Wim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Korverstraat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 35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br/>
              <w:t xml:space="preserve">5831 AN </w:t>
            </w:r>
            <w:proofErr w:type="spellStart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Boxmeer</w:t>
            </w:r>
            <w:proofErr w:type="spellEnd"/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  <w:r w:rsidRPr="00006E8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br/>
              <w:t>The Netherlands</w:t>
            </w:r>
          </w:p>
        </w:tc>
      </w:tr>
    </w:tbl>
    <w:p w:rsidR="00B318A1" w:rsidRPr="00006E8C" w:rsidRDefault="00B318A1">
      <w:pPr>
        <w:rPr>
          <w:lang w:val="en-US"/>
        </w:rPr>
      </w:pPr>
    </w:p>
    <w:sectPr w:rsidR="00B318A1" w:rsidRPr="0000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E8C"/>
    <w:rsid w:val="00006E8C"/>
    <w:rsid w:val="00B3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8C"/>
    <w:rPr>
      <w:b/>
      <w:bCs/>
    </w:rPr>
  </w:style>
  <w:style w:type="character" w:styleId="a5">
    <w:name w:val="Emphasis"/>
    <w:basedOn w:val="a0"/>
    <w:uiPriority w:val="20"/>
    <w:qFormat/>
    <w:rsid w:val="00006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2022-07-20T11:00:00Z</dcterms:created>
  <dcterms:modified xsi:type="dcterms:W3CDTF">2022-07-20T11:01:00Z</dcterms:modified>
</cp:coreProperties>
</file>